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-2" w:leftChars="-294" w:right="-313" w:rightChars="-149" w:hanging="615" w:hangingChars="171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汕尾市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建城投资</w:t>
      </w:r>
      <w:r>
        <w:rPr>
          <w:rFonts w:hint="eastAsia" w:ascii="方正小标宋简体" w:hAnsi="仿宋" w:eastAsia="方正小标宋简体"/>
          <w:sz w:val="36"/>
          <w:szCs w:val="36"/>
        </w:rPr>
        <w:t>有限公司招聘人员报名表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745"/>
        <w:gridCol w:w="332"/>
        <w:gridCol w:w="937"/>
        <w:gridCol w:w="855"/>
        <w:gridCol w:w="287"/>
        <w:gridCol w:w="1381"/>
        <w:gridCol w:w="117"/>
        <w:gridCol w:w="131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）岁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79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83" w:type="dxa"/>
            <w:gridSpan w:val="1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注：从参加工作前的毕业院校开始填起，起止时间到月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治面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14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7420" w:firstLineChars="2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7420" w:firstLineChars="265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D2E8D"/>
    <w:rsid w:val="3E9B1483"/>
    <w:rsid w:val="5C4404DA"/>
    <w:rsid w:val="64E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2020-06-17T03:59:00Z</dcterms:created>
  <dc:creator>Administrator</dc:creator>
  <cp:lastModifiedBy>Administrator</cp:lastModifiedBy>
  <dcterms:modified xsi:type="dcterms:W3CDTF">2020-06-17T04:01:08Z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