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27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具体岗位要求如下：</w:t>
      </w:r>
    </w:p>
    <w:tbl>
      <w:tblPr>
        <w:tblW w:w="840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553"/>
        <w:gridCol w:w="577"/>
        <w:gridCol w:w="577"/>
        <w:gridCol w:w="2151"/>
        <w:gridCol w:w="817"/>
        <w:gridCol w:w="281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岗 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名 称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拟聘人数</w:t>
            </w:r>
          </w:p>
        </w:tc>
        <w:tc>
          <w:tcPr>
            <w:tcW w:w="69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岗 位 条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最低学历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最低学位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专 业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最低专业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技术资格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与岗位有关的其它条件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社康全科医师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本科：临床医学类/中医学类/中西医结合类；研究生：不限。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全日制普通高等教育学历；45周岁以下；中级以上职称可放宽至全日制大专；执业范围为全科专业。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社康公卫医师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本科：预防医学；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研究生：公共卫生与预防医学。           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全日制普通高等教育学历；35周岁以下；中级以上职称可放宽至全日制大专；执业范围为公共卫生专业。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社康医师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本科：临床医学类/中医学类/中西医结合类；研究生：不限。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45周岁以下；具有执业医师资格。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社康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中医师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本科：中医学类/中西医结合类 研究生：中医学类/中西医结合类。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医师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全日制普通高等教育学历；45周岁以下；具有执业医师资格。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康复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治疗师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大专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大专：康复治疗技术；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本科：康复治疗学；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研究生：康复医学与理疗学。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技士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27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19"/>
                <w:szCs w:val="19"/>
                <w:bdr w:val="none" w:color="auto" w:sz="0" w:space="0"/>
              </w:rPr>
              <w:t>全日制普通高等教育学历；35周岁以下；具有康复医学治疗技术资格证。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3F2"/>
    <w:rsid w:val="0009569F"/>
    <w:rsid w:val="00356701"/>
    <w:rsid w:val="003F212F"/>
    <w:rsid w:val="0055156D"/>
    <w:rsid w:val="00583CD6"/>
    <w:rsid w:val="005B3BD7"/>
    <w:rsid w:val="00621C66"/>
    <w:rsid w:val="00A207F6"/>
    <w:rsid w:val="00A450C9"/>
    <w:rsid w:val="00B6557B"/>
    <w:rsid w:val="00BD13F2"/>
    <w:rsid w:val="00C21FE8"/>
    <w:rsid w:val="00C45FD3"/>
    <w:rsid w:val="00E85646"/>
    <w:rsid w:val="76C4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122</Words>
  <Characters>697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2019-03-05T01:32:00Z</dcterms:created>
  <dc:creator>lili</dc:creator>
  <cp:lastModifiedBy>Administrator</cp:lastModifiedBy>
  <dcterms:modified xsi:type="dcterms:W3CDTF">2020-06-24T02:48:40Z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