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pacing w:val="1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920" w:firstLineChars="200"/>
        <w:textAlignment w:val="auto"/>
        <w:rPr>
          <w:rFonts w:hint="eastAsia" w:ascii="方正小标宋简体" w:hAnsi="方正小标宋简体" w:eastAsia="方正小标宋简体" w:cs="仿宋_GB2312"/>
          <w:color w:val="000000"/>
          <w:spacing w:val="1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仿宋_GB2312"/>
          <w:color w:val="000000"/>
          <w:spacing w:val="10"/>
          <w:sz w:val="44"/>
          <w:szCs w:val="44"/>
          <w:highlight w:val="none"/>
          <w:lang w:val="en-US" w:eastAsia="zh-CN"/>
        </w:rPr>
        <w:t>潮州市网络安全应急指挥中心简介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宋体"/>
          <w:spacing w:val="1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8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潮州市网络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安全应急指挥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中心（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加挂“潮州市网络舆情信息中心”牌子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eastAsia="zh-CN"/>
        </w:rPr>
        <w:t>市委网络安全和信息化委员会办公室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管理的正科级事业单位，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设置综合股、舆情信息股、应急指挥股等3个内设机构，均为正股级；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人员经费来源为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公益一类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主要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工作职责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是承担网络舆情及网络安全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  <w:lang w:val="en-US" w:eastAsia="zh-CN"/>
        </w:rPr>
        <w:t>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  <w:spacing w:val="10"/>
          <w:lang w:val="en-US" w:eastAsia="zh-CN"/>
        </w:rPr>
      </w:pPr>
    </w:p>
    <w:sectPr>
      <w:pgSz w:w="11906" w:h="16838"/>
      <w:pgMar w:top="1701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624B2"/>
    <w:rsid w:val="06357429"/>
    <w:rsid w:val="39F01624"/>
    <w:rsid w:val="42AA2B7F"/>
    <w:rsid w:val="511624B2"/>
    <w:rsid w:val="61D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2021-07-14T03:25:00Z</dcterms:created>
  <dc:creator>WA</dc:creator>
  <cp:lastModifiedBy>WA</cp:lastModifiedBy>
  <cp:lastPrinted>2021-09-08T02:27:07Z</cp:lastPrinted>
  <dcterms:modified xsi:type="dcterms:W3CDTF">2021-09-08T03:04:27Z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