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"/>
          <w:bCs/>
          <w:sz w:val="36"/>
          <w:szCs w:val="36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线上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笔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" w:firstLine="544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为进一步明确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本次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笔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试的相关注意事项，便于考生方便、快捷、高效地完成本次线上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环节，请务必仔细阅读以下相关信息：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自由测试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时间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考生自行安排时间参加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2024年1月10日（星期三）10:00- 1月11日（星期四）24:00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集中模考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时间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建议但不强制参加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1月12日（星期五）19:00-20:30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考试登录及开考时间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笔试登录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行测：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8:00-9:00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申论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专业科目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10:10-1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笔试开考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行测：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8:30-10:00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Ⅰ类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申论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Ⅱ类岗位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专业科目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日（星期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10:30-12:30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考生须在规定时间内完成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设备测试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登录、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身份核验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及开启旁路监控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确认个人考试信息无误后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候考，考试开始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后3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0分钟为截止登录时间（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未按要求时间登录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视为弃考），考试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结束前3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0分钟后方可提前交卷，请考生做好相关准备。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线上笔试准备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  <w:t>设施设备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考生须准备带摄像头、麦克风的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电脑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仅支持Windows 7及以上操作系</w:t>
      </w:r>
      <w:r>
        <w:rPr>
          <w:rFonts w:hint="eastAsia" w:ascii="仿宋" w:hAnsi="仿宋" w:eastAsia="仿宋" w:cs="仿宋"/>
          <w:sz w:val="32"/>
          <w:szCs w:val="32"/>
        </w:rPr>
        <w:t>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和移动设备（手机或平板）各一台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，并确保网络、麦克风、扬声器、摄像头运作正常。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考生须确保设备电量充足，保证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过程不受其他因素干扰。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自行准备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手机或平板支架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将智能手机或平板设备固定摆放，便于按监控视角要求调整到合适的位置和高度。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</w:rPr>
        <w:t>环境及要求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本次线上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考生须全程视频在线，且不能与外界联系。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考生须提前准备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相对独立、封闭、安静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的线上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环境，采光良好，不逆光。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过程中，如所处考试环境同时出现其他人的，或离开监控视频范围的，将被认定为违反考试纪律，取消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成绩。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考生应选择干净、整洁、适合线上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的背景墙，白色背景墙为佳，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不得使用虚拟背景，不得遮挡面部，不得使用滤镜等可能导致本人严重失真的设备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考生须确保网络环境稳定，能满足线上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需求，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建议优先使用有线网络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考生须准备应急方案，确保在突发情况时能随时启用备用方案继续线上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如在线上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途中因考生方面原因导致网络中断的时间记入考生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总时长。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画面呈现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时考生须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衣着大方得体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，直视摄像头，保证面部清晰可见，声音清晰。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将电脑放在高度适中的桌面，摄像头距离考生50-60厘米，确保从正面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清晰拍摄到考生上半身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将移动设备（手机或平板）放在考生侧后方45度位置，确保拍摄到考生本人、桌面（笔记本答题界面和键盘位置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）、笔记本电脑屏幕、周围环境及考生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shd w:val="clear" w:color="auto" w:fill="FFFFFF"/>
        </w:rPr>
        <w:t>全过程。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10-12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日设置测试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环节，请考生配合相关测试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。如因考生个人原因未参加测试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，导致正式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出现操作不当无法顺利完成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，由考生自行承担责任。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请考生提前按要求布置考场环境，提前熟悉软件操作、调试设备、测试并确保网络流畅。因个人设备问题或网络不通畅所导致的问题由考生自行承担责任。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线上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当天，请考生尽量预留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充足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时间提前登录系统（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建议提前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（行测）30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分钟、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考试（申论）20分钟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以便监考员逐一确认考生环境符合要求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开考后30分钟将不得登录系统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），做好环境和设备调试，并在指定时间内完成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none"/>
        </w:rPr>
        <w:t>流程。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</w:rPr>
        <w:t>考生提前做好个人学习生活安排，并保持通讯畅通，确保能够及时联系。因提供错误联系信息或通讯不畅造成的后果由考生本人承担。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DEB13"/>
    <w:multiLevelType w:val="singleLevel"/>
    <w:tmpl w:val="927DEB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F8BFDA"/>
    <w:multiLevelType w:val="singleLevel"/>
    <w:tmpl w:val="BDF8BF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20F23FF"/>
    <w:multiLevelType w:val="singleLevel"/>
    <w:tmpl w:val="C20F23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ED591C85"/>
    <w:multiLevelType w:val="singleLevel"/>
    <w:tmpl w:val="ED591C8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F17264AA"/>
    <w:multiLevelType w:val="singleLevel"/>
    <w:tmpl w:val="F17264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4F5CF161"/>
    <w:multiLevelType w:val="singleLevel"/>
    <w:tmpl w:val="4F5CF1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6">
    <w:nsid w:val="659AB1F8"/>
    <w:multiLevelType w:val="singleLevel"/>
    <w:tmpl w:val="659AB1F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461A06"/>
    <w:rsid w:val="001A227A"/>
    <w:rsid w:val="001D085A"/>
    <w:rsid w:val="002E1A45"/>
    <w:rsid w:val="00461A06"/>
    <w:rsid w:val="004A7936"/>
    <w:rsid w:val="004D1ED3"/>
    <w:rsid w:val="005C6ADC"/>
    <w:rsid w:val="007145BA"/>
    <w:rsid w:val="007C1B10"/>
    <w:rsid w:val="007D5D16"/>
    <w:rsid w:val="008676A3"/>
    <w:rsid w:val="008D311A"/>
    <w:rsid w:val="00B70D9D"/>
    <w:rsid w:val="00DA41EA"/>
    <w:rsid w:val="00DB6509"/>
    <w:rsid w:val="00DB6829"/>
    <w:rsid w:val="00DE05B2"/>
    <w:rsid w:val="00E27DFE"/>
    <w:rsid w:val="00E81897"/>
    <w:rsid w:val="00EB36A1"/>
    <w:rsid w:val="00FB6315"/>
    <w:rsid w:val="0252435A"/>
    <w:rsid w:val="02AB5AF9"/>
    <w:rsid w:val="04D1144E"/>
    <w:rsid w:val="05237BC9"/>
    <w:rsid w:val="06AD62E4"/>
    <w:rsid w:val="07E37AE3"/>
    <w:rsid w:val="0A6E5A60"/>
    <w:rsid w:val="0BD00C0A"/>
    <w:rsid w:val="0E213113"/>
    <w:rsid w:val="0EEF28E4"/>
    <w:rsid w:val="10B86C00"/>
    <w:rsid w:val="11931243"/>
    <w:rsid w:val="11DB23BB"/>
    <w:rsid w:val="13027492"/>
    <w:rsid w:val="13623745"/>
    <w:rsid w:val="143F0CC5"/>
    <w:rsid w:val="15FC6940"/>
    <w:rsid w:val="18A83D67"/>
    <w:rsid w:val="191F46F3"/>
    <w:rsid w:val="198B71C0"/>
    <w:rsid w:val="1A587EBD"/>
    <w:rsid w:val="1C074F17"/>
    <w:rsid w:val="1C116575"/>
    <w:rsid w:val="1D5B56FB"/>
    <w:rsid w:val="1F672FA8"/>
    <w:rsid w:val="211242AE"/>
    <w:rsid w:val="22DB251A"/>
    <w:rsid w:val="243B1A1F"/>
    <w:rsid w:val="259D426B"/>
    <w:rsid w:val="26EE3A3C"/>
    <w:rsid w:val="2A1E1108"/>
    <w:rsid w:val="2A2D418D"/>
    <w:rsid w:val="2AD74E2E"/>
    <w:rsid w:val="2B616237"/>
    <w:rsid w:val="2C112457"/>
    <w:rsid w:val="2E5F617E"/>
    <w:rsid w:val="32A550C7"/>
    <w:rsid w:val="3445105A"/>
    <w:rsid w:val="35C86AD2"/>
    <w:rsid w:val="363F3BD8"/>
    <w:rsid w:val="36C16230"/>
    <w:rsid w:val="371145C5"/>
    <w:rsid w:val="37E34E12"/>
    <w:rsid w:val="3A5008E2"/>
    <w:rsid w:val="3B4D5618"/>
    <w:rsid w:val="3B8B7C9A"/>
    <w:rsid w:val="3BC30BD4"/>
    <w:rsid w:val="3C542137"/>
    <w:rsid w:val="3CFA6AF1"/>
    <w:rsid w:val="3D4A148F"/>
    <w:rsid w:val="3E6F38A3"/>
    <w:rsid w:val="3EDA429E"/>
    <w:rsid w:val="3FC27565"/>
    <w:rsid w:val="41C07F72"/>
    <w:rsid w:val="42176448"/>
    <w:rsid w:val="423B60DB"/>
    <w:rsid w:val="425A7BFB"/>
    <w:rsid w:val="42910EA3"/>
    <w:rsid w:val="44DC50C3"/>
    <w:rsid w:val="45FE44F2"/>
    <w:rsid w:val="463D3FA8"/>
    <w:rsid w:val="465626CB"/>
    <w:rsid w:val="482C010F"/>
    <w:rsid w:val="48E42798"/>
    <w:rsid w:val="491A00CD"/>
    <w:rsid w:val="4A19661E"/>
    <w:rsid w:val="4A2D016F"/>
    <w:rsid w:val="4A963F66"/>
    <w:rsid w:val="4B920D53"/>
    <w:rsid w:val="4B943C2D"/>
    <w:rsid w:val="4C7A0C34"/>
    <w:rsid w:val="4F154C3D"/>
    <w:rsid w:val="518D02CA"/>
    <w:rsid w:val="52DB4C0C"/>
    <w:rsid w:val="543548CD"/>
    <w:rsid w:val="57D25AD2"/>
    <w:rsid w:val="58BA2095"/>
    <w:rsid w:val="5ACF3521"/>
    <w:rsid w:val="5CC04E72"/>
    <w:rsid w:val="5DCA244C"/>
    <w:rsid w:val="5DEC23C3"/>
    <w:rsid w:val="5EF32937"/>
    <w:rsid w:val="5F62069A"/>
    <w:rsid w:val="6129748A"/>
    <w:rsid w:val="622F0AD0"/>
    <w:rsid w:val="63B45D39"/>
    <w:rsid w:val="64627AB0"/>
    <w:rsid w:val="666B4F81"/>
    <w:rsid w:val="66B4488F"/>
    <w:rsid w:val="672C7CD4"/>
    <w:rsid w:val="68627928"/>
    <w:rsid w:val="68C71B3A"/>
    <w:rsid w:val="691B552B"/>
    <w:rsid w:val="6B813C05"/>
    <w:rsid w:val="6E697E33"/>
    <w:rsid w:val="6F906926"/>
    <w:rsid w:val="70FA1B4A"/>
    <w:rsid w:val="758D193E"/>
    <w:rsid w:val="75B82733"/>
    <w:rsid w:val="75FC6B89"/>
    <w:rsid w:val="775B360B"/>
    <w:rsid w:val="777059BB"/>
    <w:rsid w:val="793420A3"/>
    <w:rsid w:val="79B11749"/>
    <w:rsid w:val="7FF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2022-05-16T06:47:00Z</dcterms:created>
  <dc:creator>chen xiangsen</dc:creator>
  <cp:lastModifiedBy>Gerry</cp:lastModifiedBy>
  <dcterms:modified xsi:type="dcterms:W3CDTF">2024-01-05T02:52:22Z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D14550CE11894A0293F1CCAE55A4459B_13</vt:lpwstr>
  </property>
</Properties>
</file>